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4210" w:rsidR="002D4E54" w:rsidP="000668BF" w:rsidRDefault="001B55F7" w14:paraId="3342805C" w14:textId="3F8A10EF">
      <w:pPr>
        <w:spacing w:after="0" w:line="360" w:lineRule="auto"/>
        <w:contextualSpacing/>
        <w:rPr>
          <w:sz w:val="32"/>
          <w:szCs w:val="32"/>
        </w:rPr>
      </w:pPr>
      <w:r w:rsidRPr="00334210">
        <w:rPr>
          <w:sz w:val="32"/>
          <w:szCs w:val="32"/>
        </w:rPr>
        <w:t xml:space="preserve">HR Hero </w:t>
      </w:r>
      <w:r w:rsidRPr="00334210" w:rsidR="0095486B">
        <w:rPr>
          <w:sz w:val="32"/>
          <w:szCs w:val="32"/>
        </w:rPr>
        <w:t>–</w:t>
      </w:r>
      <w:r w:rsidRPr="00334210">
        <w:rPr>
          <w:sz w:val="32"/>
          <w:szCs w:val="32"/>
        </w:rPr>
        <w:t xml:space="preserve"> Straightforward Compliance</w:t>
      </w:r>
    </w:p>
    <w:p w:rsidRPr="00334210" w:rsidR="001B55F7" w:rsidP="000668BF" w:rsidRDefault="001B55F7" w14:paraId="00A825F5" w14:textId="19432A4F">
      <w:pPr>
        <w:spacing w:after="0" w:line="360" w:lineRule="auto"/>
        <w:contextualSpacing/>
      </w:pPr>
    </w:p>
    <w:p w:rsidRPr="00FC791D" w:rsidR="001B55F7" w:rsidP="000668BF" w:rsidRDefault="001B55F7" w14:paraId="4DC4E72B" w14:textId="4063E192">
      <w:pPr>
        <w:spacing w:after="0" w:line="360" w:lineRule="auto"/>
        <w:contextualSpacing/>
      </w:pPr>
      <w:r w:rsidRPr="00334210">
        <w:t>HR Hero® is our fully customizable, cloud-based platform that offers expert legal</w:t>
      </w:r>
      <w:r w:rsidRPr="00FC791D">
        <w:t xml:space="preserve"> analysis, guidance, training, and best-in-class tools for you and your team. HR Hero combines powerful workflow tools that </w:t>
      </w:r>
      <w:r w:rsidRPr="00FC791D" w:rsidR="00FE6169">
        <w:t>H</w:t>
      </w:r>
      <w:r w:rsidRPr="00FC791D">
        <w:t xml:space="preserve">uman </w:t>
      </w:r>
      <w:r w:rsidRPr="00FC791D" w:rsidR="00FE6169">
        <w:t>R</w:t>
      </w:r>
      <w:r w:rsidRPr="00FC791D">
        <w:t>esources professionals need into one centralized dashboard.</w:t>
      </w:r>
    </w:p>
    <w:p w:rsidRPr="00FC791D" w:rsidR="001B55F7" w:rsidP="00334210" w:rsidRDefault="001B55F7" w14:paraId="15E546AF" w14:textId="77777777">
      <w:pPr>
        <w:spacing w:line="360" w:lineRule="auto"/>
        <w:contextualSpacing/>
        <w:rPr>
          <w:b/>
          <w:bCs/>
        </w:rPr>
      </w:pPr>
    </w:p>
    <w:p w:rsidRPr="00FC791D" w:rsidR="001B55F7" w:rsidP="00334210" w:rsidRDefault="001B55F7" w14:paraId="17D55B94" w14:textId="77777777">
      <w:pPr>
        <w:spacing w:line="360" w:lineRule="auto"/>
        <w:contextualSpacing/>
        <w:rPr>
          <w:b/>
          <w:bCs/>
        </w:rPr>
      </w:pPr>
      <w:r w:rsidRPr="00FC791D">
        <w:rPr>
          <w:b/>
          <w:bCs/>
        </w:rPr>
        <w:t>Straightforward Compliance</w:t>
      </w:r>
    </w:p>
    <w:p w:rsidRPr="00FC791D" w:rsidR="001B55F7" w:rsidP="00334210" w:rsidRDefault="001B55F7" w14:paraId="6F26F27D" w14:textId="5FB80755">
      <w:pPr>
        <w:spacing w:line="360" w:lineRule="auto"/>
        <w:contextualSpacing/>
      </w:pPr>
      <w:r w:rsidRPr="00FC791D">
        <w:t>How do you find out about the latest regulatory change affecting your organization? If your process involves searching online for the most up-to-date regulation, we should talk. HR Hero® takes the guesswork out of HR regulatory compliance. Gain peace of mind with HR Hero’s compliance solutions</w:t>
      </w:r>
      <w:r w:rsidRPr="00FC791D" w:rsidR="00FE6169">
        <w:t>,</w:t>
      </w:r>
      <w:r w:rsidRPr="00FC791D">
        <w:t xml:space="preserve"> and never have to search for a new regulation online again.</w:t>
      </w:r>
    </w:p>
    <w:p w:rsidRPr="00FD76FF" w:rsidR="007B2CF0" w:rsidP="00FD76FF" w:rsidRDefault="007B2CF0" w14:paraId="0DB7FE49" w14:textId="77777777">
      <w:pPr>
        <w:spacing w:line="360" w:lineRule="auto"/>
        <w:contextualSpacing/>
      </w:pPr>
    </w:p>
    <w:p w:rsidRPr="00FD76FF" w:rsidR="001B55F7" w:rsidP="00FD76FF" w:rsidRDefault="001B55F7" w14:paraId="44318851" w14:textId="77777777">
      <w:pPr>
        <w:spacing w:line="360" w:lineRule="auto"/>
        <w:contextualSpacing/>
        <w:rPr>
          <w:u w:val="single"/>
        </w:rPr>
      </w:pPr>
      <w:r w:rsidRPr="00FD76FF">
        <w:rPr>
          <w:u w:val="single"/>
        </w:rPr>
        <w:t>Top features:</w:t>
      </w:r>
    </w:p>
    <w:p w:rsidR="001B55F7" w:rsidP="039F236F" w:rsidRDefault="001B55F7" w14:paraId="5DB2E728" w14:textId="5520F05A">
      <w:pPr>
        <w:pStyle w:val="ListParagraph"/>
        <w:numPr>
          <w:ilvl w:val="0"/>
          <w:numId w:val="2"/>
        </w:numPr>
        <w:spacing w:line="360" w:lineRule="auto"/>
        <w:rPr>
          <w:rFonts w:ascii="Calibri" w:hAnsi="Calibri" w:eastAsia="Calibri" w:cs="Calibri" w:asciiTheme="minorAscii" w:hAnsiTheme="minorAscii" w:eastAsiaTheme="minorAscii" w:cstheme="minorAscii"/>
          <w:noProof w:val="0"/>
          <w:sz w:val="22"/>
          <w:szCs w:val="22"/>
          <w:lang w:val="en-US"/>
        </w:rPr>
      </w:pPr>
      <w:r w:rsidRPr="039F236F" w:rsidR="001B55F7">
        <w:rPr>
          <w:b w:val="1"/>
          <w:bCs w:val="1"/>
        </w:rPr>
        <w:t>State Law Chart Builder–</w:t>
      </w:r>
      <w:r w:rsidRPr="039F236F" w:rsidR="039F236F">
        <w:rPr>
          <w:noProof w:val="0"/>
          <w:lang w:val="en-US"/>
        </w:rPr>
        <w:t>From preemployment arrest and conviction inquiries to final paychecks, there's a different state law or regulation for almost every aspect of the employer-employee relationship. Today’s human resources professionals need to handle increasingly complex employment laws and keeping up with constantly changing laws is nearly impossible. One wrong decision or policy recommendation can leave your company facing expensive fines, penalties and lawsuits, workplace disruption, and a damaged reputation. Gain compliance confidence with HR Hero’s State Law Chart Builder.</w:t>
      </w:r>
    </w:p>
    <w:p w:rsidRPr="00FD76FF" w:rsidR="001B55F7" w:rsidP="039F236F" w:rsidRDefault="001B55F7" w14:paraId="3BABC2E5" w14:textId="6DFA9376">
      <w:pPr>
        <w:pStyle w:val="ListParagraph"/>
        <w:numPr>
          <w:ilvl w:val="0"/>
          <w:numId w:val="2"/>
        </w:numPr>
        <w:spacing w:line="360" w:lineRule="auto"/>
        <w:rPr>
          <w:rFonts w:ascii="Calibri" w:hAnsi="Calibri" w:eastAsia="Calibri" w:cs="Calibri" w:asciiTheme="minorAscii" w:hAnsiTheme="minorAscii" w:eastAsiaTheme="minorAscii" w:cstheme="minorAscii"/>
          <w:b w:val="1"/>
          <w:bCs w:val="1"/>
          <w:sz w:val="22"/>
          <w:szCs w:val="22"/>
        </w:rPr>
      </w:pPr>
      <w:r w:rsidRPr="039F236F" w:rsidR="001B55F7">
        <w:rPr>
          <w:b w:val="1"/>
          <w:bCs w:val="1"/>
        </w:rPr>
        <w:t>Federal &amp; State Topic Analysis–</w:t>
      </w:r>
      <w:r w:rsidRPr="039F236F" w:rsidR="039F236F">
        <w:rPr>
          <w:noProof w:val="0"/>
          <w:lang w:val="en-US"/>
        </w:rPr>
        <w:t>A side-by-side, deep dive into 90+ key employment laws and requirements Each topic also includes relevant, downloadable content including training materials, forms, checklists and more, so you can save time searching for what you need. Login to HRHero.BLR.com and select Federal &amp; State Topic Analysis Choose your category, topic, and state Generate both federal and state requirements in an easy-to-understand, side by side view. Cut down on manual research processes and work quickly and more efficiently.</w:t>
      </w:r>
    </w:p>
    <w:p w:rsidRPr="00FD76FF" w:rsidR="001B55F7" w:rsidP="039F236F" w:rsidRDefault="001B55F7" w14:paraId="4760A062" w14:textId="76F7480A">
      <w:pPr>
        <w:pStyle w:val="ListParagraph"/>
        <w:numPr>
          <w:ilvl w:val="0"/>
          <w:numId w:val="2"/>
        </w:numPr>
        <w:spacing w:line="360" w:lineRule="auto"/>
        <w:rPr>
          <w:rFonts w:ascii="Calibri" w:hAnsi="Calibri" w:eastAsia="Calibri" w:cs="Calibri" w:asciiTheme="minorAscii" w:hAnsiTheme="minorAscii" w:eastAsiaTheme="minorAscii" w:cstheme="minorAscii"/>
          <w:b w:val="1"/>
          <w:bCs w:val="1"/>
          <w:sz w:val="22"/>
          <w:szCs w:val="22"/>
        </w:rPr>
      </w:pPr>
      <w:r w:rsidRPr="039F236F" w:rsidR="001B55F7">
        <w:rPr>
          <w:b w:val="1"/>
          <w:bCs w:val="1"/>
        </w:rPr>
        <w:t>Job Classification and FLSA Audit Tool–</w:t>
      </w:r>
      <w:r w:rsidRPr="039F236F" w:rsidR="039F236F">
        <w:rPr>
          <w:noProof w:val="0"/>
          <w:lang w:val="en-US"/>
        </w:rPr>
        <w:t>Complying with wage and hour laws can be complicated and overwhelming—but getting it wrong can expose you to tremendous legal and financial risk.</w:t>
      </w:r>
    </w:p>
    <w:p w:rsidRPr="00FD76FF" w:rsidR="001B55F7" w:rsidP="039F236F" w:rsidRDefault="001B55F7" w14:paraId="4E7762EF" w14:textId="1863CE3E">
      <w:pPr>
        <w:pStyle w:val="ListParagraph"/>
        <w:numPr>
          <w:ilvl w:val="0"/>
          <w:numId w:val="2"/>
        </w:numPr>
        <w:spacing w:line="360" w:lineRule="auto"/>
        <w:rPr>
          <w:rFonts w:ascii="Calibri" w:hAnsi="Calibri" w:eastAsia="Calibri" w:cs="Calibri" w:asciiTheme="minorAscii" w:hAnsiTheme="minorAscii" w:eastAsiaTheme="minorAscii" w:cstheme="minorAscii"/>
          <w:sz w:val="22"/>
          <w:szCs w:val="22"/>
        </w:rPr>
      </w:pPr>
      <w:r w:rsidRPr="039F236F" w:rsidR="001B55F7">
        <w:rPr>
          <w:b w:val="1"/>
          <w:bCs w:val="1"/>
        </w:rPr>
        <w:t>HR Hotline–</w:t>
      </w:r>
      <w:r w:rsidRPr="039F236F" w:rsidR="039F236F">
        <w:rPr>
          <w:noProof w:val="0"/>
          <w:lang w:val="en-US"/>
        </w:rPr>
        <w:t>Make attorney fees a thing of the past. Thorough, easy-to-understand answers to your most pressing questions, available by phone, chat, or email.</w:t>
      </w:r>
      <w:r>
        <w:br/>
      </w:r>
    </w:p>
    <w:p w:rsidRPr="00FD76FF" w:rsidR="001B55F7" w:rsidP="00FD76FF" w:rsidRDefault="001B55F7" w14:paraId="12AD195B" w14:textId="1BB44934">
      <w:pPr>
        <w:spacing w:line="360" w:lineRule="auto"/>
        <w:contextualSpacing/>
      </w:pPr>
      <w:r w:rsidRPr="00FD76FF">
        <w:t>Move the needle in your organization</w:t>
      </w:r>
      <w:r w:rsidRPr="00FD76FF" w:rsidR="00FE6169">
        <w:t>,</w:t>
      </w:r>
      <w:r w:rsidRPr="00FD76FF">
        <w:t xml:space="preserve"> and gain back precious time and resources so you can invest in what really matters</w:t>
      </w:r>
      <w:r w:rsidRPr="00FD76FF" w:rsidR="00FE6169">
        <w:t>:</w:t>
      </w:r>
      <w:r w:rsidRPr="00FD76FF">
        <w:t xml:space="preserve"> your people. Schedule a </w:t>
      </w:r>
      <w:r w:rsidRPr="00FD76FF" w:rsidR="00FE6169">
        <w:t>one</w:t>
      </w:r>
      <w:r w:rsidRPr="00FD76FF">
        <w:t>-on-</w:t>
      </w:r>
      <w:r w:rsidRPr="00FD76FF" w:rsidR="00FE6169">
        <w:t>one</w:t>
      </w:r>
      <w:r w:rsidRPr="00FD76FF">
        <w:t xml:space="preserve"> demo with an HR solutions architect today.</w:t>
      </w:r>
    </w:p>
    <w:p w:rsidR="1F7DD663" w:rsidP="002D4E54" w:rsidRDefault="1F7DD663" w14:paraId="0D121929" w14:textId="7FE5E9FC">
      <w:pPr>
        <w:spacing w:after="0" w:line="360" w:lineRule="auto"/>
        <w:contextualSpacing/>
        <w:rPr>
          <w:rFonts w:ascii="Calibri" w:hAnsi="Calibri" w:eastAsia="Calibri" w:cs="Calibri"/>
          <w:sz w:val="24"/>
          <w:szCs w:val="24"/>
        </w:rPr>
      </w:pPr>
    </w:p>
    <w:p w:rsidR="0BA5BD13" w:rsidP="297FB76C" w:rsidRDefault="0BA5BD13" w14:paraId="02C3F735" w14:textId="05F80773">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297FB76C" w:rsidR="0BA5BD13">
        <w:rPr>
          <w:rFonts w:ascii="Calibri" w:hAnsi="Calibri" w:eastAsia="Calibri" w:cs="Calibri"/>
          <w:b w:val="1"/>
          <w:bCs w:val="1"/>
          <w:i w:val="0"/>
          <w:iCs w:val="0"/>
          <w:caps w:val="0"/>
          <w:smallCaps w:val="0"/>
          <w:noProof w:val="0"/>
          <w:color w:val="000000" w:themeColor="text1" w:themeTint="FF" w:themeShade="FF"/>
          <w:sz w:val="22"/>
          <w:szCs w:val="22"/>
          <w:lang w:val="en-US"/>
        </w:rPr>
        <w:t>For questions about HR Hero resources, </w:t>
      </w:r>
    </w:p>
    <w:p w:rsidR="0BA5BD13" w:rsidP="297FB76C" w:rsidRDefault="0BA5BD13" w14:paraId="23C0D88A" w14:textId="42E09216">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297FB76C" w:rsidR="0BA5BD13">
        <w:rPr>
          <w:rFonts w:ascii="Calibri" w:hAnsi="Calibri" w:eastAsia="Calibri" w:cs="Calibri"/>
          <w:b w:val="1"/>
          <w:bCs w:val="1"/>
          <w:i w:val="0"/>
          <w:iCs w:val="0"/>
          <w:caps w:val="0"/>
          <w:smallCaps w:val="0"/>
          <w:noProof w:val="0"/>
          <w:color w:val="000000" w:themeColor="text1" w:themeTint="FF" w:themeShade="FF"/>
          <w:sz w:val="22"/>
          <w:szCs w:val="22"/>
          <w:lang w:val="en-US"/>
        </w:rPr>
        <w:t>please contact:  </w:t>
      </w:r>
    </w:p>
    <w:p w:rsidR="0BA5BD13" w:rsidP="297FB76C" w:rsidRDefault="0BA5BD13" w14:paraId="1FFBB613" w14:textId="155B305B">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pPr>
      <w:r w:rsidRPr="297FB76C" w:rsidR="0BA5BD13">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[Name]</w:t>
      </w:r>
    </w:p>
    <w:p w:rsidR="0BA5BD13" w:rsidP="297FB76C" w:rsidRDefault="0BA5BD13" w14:paraId="081B9B31" w14:textId="559FD199">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pPr>
      <w:r w:rsidRPr="297FB76C" w:rsidR="0BA5BD13">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[Email]</w:t>
      </w:r>
    </w:p>
    <w:p w:rsidR="0BA5BD13" w:rsidP="297FB76C" w:rsidRDefault="0BA5BD13" w14:paraId="18F0C864" w14:textId="58AB56C0">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pPr>
      <w:r w:rsidRPr="297FB76C" w:rsidR="0BA5BD13">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[Phone Number]</w:t>
      </w:r>
    </w:p>
    <w:p w:rsidR="297FB76C" w:rsidP="297FB76C" w:rsidRDefault="297FB76C" w14:paraId="04E0B27A" w14:textId="3B2F7EAC">
      <w:pPr>
        <w:pStyle w:val="Normal"/>
        <w:spacing w:after="0" w:line="360" w:lineRule="auto"/>
        <w:jc w:val="center"/>
        <w:rPr>
          <w:rFonts w:ascii="Calibri" w:hAnsi="Calibri" w:eastAsia="Calibri" w:cs="Calibri"/>
          <w:color w:val="000000" w:themeColor="text1" w:themeTint="FF" w:themeShade="FF"/>
          <w:sz w:val="24"/>
          <w:szCs w:val="24"/>
        </w:rPr>
      </w:pPr>
    </w:p>
    <w:sectPr w:rsidR="006B5FB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22CB5"/>
    <w:multiLevelType w:val="hybridMultilevel"/>
    <w:tmpl w:val="FFFFFFFF"/>
    <w:lvl w:ilvl="0" w:tplc="B79C81DA">
      <w:start w:val="1"/>
      <w:numFmt w:val="bullet"/>
      <w:lvlText w:val=""/>
      <w:lvlJc w:val="left"/>
      <w:pPr>
        <w:ind w:left="720" w:hanging="360"/>
      </w:pPr>
      <w:rPr>
        <w:rFonts w:hint="default" w:ascii="Symbol" w:hAnsi="Symbol"/>
      </w:rPr>
    </w:lvl>
    <w:lvl w:ilvl="1" w:tplc="11D6900E">
      <w:start w:val="1"/>
      <w:numFmt w:val="bullet"/>
      <w:lvlText w:val="o"/>
      <w:lvlJc w:val="left"/>
      <w:pPr>
        <w:ind w:left="1440" w:hanging="360"/>
      </w:pPr>
      <w:rPr>
        <w:rFonts w:hint="default" w:ascii="Courier New" w:hAnsi="Courier New"/>
      </w:rPr>
    </w:lvl>
    <w:lvl w:ilvl="2" w:tplc="0384257C">
      <w:start w:val="1"/>
      <w:numFmt w:val="bullet"/>
      <w:lvlText w:val=""/>
      <w:lvlJc w:val="left"/>
      <w:pPr>
        <w:ind w:left="2160" w:hanging="360"/>
      </w:pPr>
      <w:rPr>
        <w:rFonts w:hint="default" w:ascii="Wingdings" w:hAnsi="Wingdings"/>
      </w:rPr>
    </w:lvl>
    <w:lvl w:ilvl="3" w:tplc="93523DDC">
      <w:start w:val="1"/>
      <w:numFmt w:val="bullet"/>
      <w:lvlText w:val=""/>
      <w:lvlJc w:val="left"/>
      <w:pPr>
        <w:ind w:left="2880" w:hanging="360"/>
      </w:pPr>
      <w:rPr>
        <w:rFonts w:hint="default" w:ascii="Symbol" w:hAnsi="Symbol"/>
      </w:rPr>
    </w:lvl>
    <w:lvl w:ilvl="4" w:tplc="A118888E">
      <w:start w:val="1"/>
      <w:numFmt w:val="bullet"/>
      <w:lvlText w:val="o"/>
      <w:lvlJc w:val="left"/>
      <w:pPr>
        <w:ind w:left="3600" w:hanging="360"/>
      </w:pPr>
      <w:rPr>
        <w:rFonts w:hint="default" w:ascii="Courier New" w:hAnsi="Courier New"/>
      </w:rPr>
    </w:lvl>
    <w:lvl w:ilvl="5" w:tplc="25BE52B4">
      <w:start w:val="1"/>
      <w:numFmt w:val="bullet"/>
      <w:lvlText w:val=""/>
      <w:lvlJc w:val="left"/>
      <w:pPr>
        <w:ind w:left="4320" w:hanging="360"/>
      </w:pPr>
      <w:rPr>
        <w:rFonts w:hint="default" w:ascii="Wingdings" w:hAnsi="Wingdings"/>
      </w:rPr>
    </w:lvl>
    <w:lvl w:ilvl="6" w:tplc="22E05830">
      <w:start w:val="1"/>
      <w:numFmt w:val="bullet"/>
      <w:lvlText w:val=""/>
      <w:lvlJc w:val="left"/>
      <w:pPr>
        <w:ind w:left="5040" w:hanging="360"/>
      </w:pPr>
      <w:rPr>
        <w:rFonts w:hint="default" w:ascii="Symbol" w:hAnsi="Symbol"/>
      </w:rPr>
    </w:lvl>
    <w:lvl w:ilvl="7" w:tplc="AEEC4144">
      <w:start w:val="1"/>
      <w:numFmt w:val="bullet"/>
      <w:lvlText w:val="o"/>
      <w:lvlJc w:val="left"/>
      <w:pPr>
        <w:ind w:left="5760" w:hanging="360"/>
      </w:pPr>
      <w:rPr>
        <w:rFonts w:hint="default" w:ascii="Courier New" w:hAnsi="Courier New"/>
      </w:rPr>
    </w:lvl>
    <w:lvl w:ilvl="8" w:tplc="5740BA74">
      <w:start w:val="1"/>
      <w:numFmt w:val="bullet"/>
      <w:lvlText w:val=""/>
      <w:lvlJc w:val="left"/>
      <w:pPr>
        <w:ind w:left="6480" w:hanging="360"/>
      </w:pPr>
      <w:rPr>
        <w:rFonts w:hint="default" w:ascii="Wingdings" w:hAnsi="Wingdings"/>
      </w:rPr>
    </w:lvl>
  </w:abstractNum>
  <w:abstractNum w:abstractNumId="1" w15:restartNumberingAfterBreak="0">
    <w:nsid w:val="7EFB2B5C"/>
    <w:multiLevelType w:val="hybridMultilevel"/>
    <w:tmpl w:val="4FA4CB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F7"/>
    <w:rsid w:val="00014A1F"/>
    <w:rsid w:val="000668BF"/>
    <w:rsid w:val="001B55F7"/>
    <w:rsid w:val="002D4E54"/>
    <w:rsid w:val="00334210"/>
    <w:rsid w:val="0047543A"/>
    <w:rsid w:val="004854FD"/>
    <w:rsid w:val="00633522"/>
    <w:rsid w:val="007B2CF0"/>
    <w:rsid w:val="0095486B"/>
    <w:rsid w:val="00EF3518"/>
    <w:rsid w:val="00FC791D"/>
    <w:rsid w:val="00FD76FF"/>
    <w:rsid w:val="00FE6169"/>
    <w:rsid w:val="0385C93C"/>
    <w:rsid w:val="039F236F"/>
    <w:rsid w:val="03E63B9D"/>
    <w:rsid w:val="09FD6EDF"/>
    <w:rsid w:val="0BA5BD13"/>
    <w:rsid w:val="1F7DD663"/>
    <w:rsid w:val="297FB76C"/>
    <w:rsid w:val="2D8B803E"/>
    <w:rsid w:val="36DDD647"/>
    <w:rsid w:val="4BA83C98"/>
    <w:rsid w:val="4BA83C98"/>
    <w:rsid w:val="5EEACC8C"/>
    <w:rsid w:val="65068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62A0"/>
  <w15:chartTrackingRefBased/>
  <w15:docId w15:val="{916B31D4-06CC-4E19-91A9-7FC10802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55F7"/>
  </w:style>
  <w:style w:type="paragraph" w:styleId="Heading1">
    <w:name w:val="heading 1"/>
    <w:basedOn w:val="Normal"/>
    <w:next w:val="Normal"/>
    <w:link w:val="Heading1Char"/>
    <w:uiPriority w:val="9"/>
    <w:qFormat/>
    <w:rsid w:val="001B55F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B55F7"/>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1B55F7"/>
    <w:rPr>
      <w:color w:val="0563C1" w:themeColor="hyperlink"/>
      <w:u w:val="single"/>
    </w:rPr>
  </w:style>
  <w:style w:type="paragraph" w:styleId="ListParagraph">
    <w:name w:val="List Paragraph"/>
    <w:basedOn w:val="Normal"/>
    <w:uiPriority w:val="34"/>
    <w:qFormat/>
    <w:rsid w:val="001B5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71626B21EDB542B639BBB350735326" ma:contentTypeVersion="13" ma:contentTypeDescription="Create a new document." ma:contentTypeScope="" ma:versionID="79b5d853dbbc552efa8ca394d1c60b8c">
  <xsd:schema xmlns:xsd="http://www.w3.org/2001/XMLSchema" xmlns:xs="http://www.w3.org/2001/XMLSchema" xmlns:p="http://schemas.microsoft.com/office/2006/metadata/properties" xmlns:ns2="bc150a28-da13-403a-9344-62bbe6185580" xmlns:ns3="07d5d9d7-1316-431f-bb32-88f5557ad3f8" targetNamespace="http://schemas.microsoft.com/office/2006/metadata/properties" ma:root="true" ma:fieldsID="84792db7566a2a19f2edecc07b9ff475" ns2:_="" ns3:_="">
    <xsd:import namespace="bc150a28-da13-403a-9344-62bbe6185580"/>
    <xsd:import namespace="07d5d9d7-1316-431f-bb32-88f5557ad3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SendSequ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50a28-da13-403a-9344-62bbe6185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SendSequence" ma:index="17" nillable="true" ma:displayName="Send Sequence" ma:format="Dropdown" ma:internalName="SendSequenc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7d5d9d7-1316-431f-bb32-88f5557ad3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ndSequence xmlns="bc150a28-da13-403a-9344-62bbe6185580" xsi:nil="true"/>
  </documentManagement>
</p:properties>
</file>

<file path=customXml/itemProps1.xml><?xml version="1.0" encoding="utf-8"?>
<ds:datastoreItem xmlns:ds="http://schemas.openxmlformats.org/officeDocument/2006/customXml" ds:itemID="{C3B26289-8D04-43D5-AB83-E2476CE982AB}">
  <ds:schemaRefs>
    <ds:schemaRef ds:uri="http://schemas.microsoft.com/sharepoint/v3/contenttype/forms"/>
  </ds:schemaRefs>
</ds:datastoreItem>
</file>

<file path=customXml/itemProps2.xml><?xml version="1.0" encoding="utf-8"?>
<ds:datastoreItem xmlns:ds="http://schemas.openxmlformats.org/officeDocument/2006/customXml" ds:itemID="{F8C391FE-7D82-4F86-AB07-792C499D5FB8}"/>
</file>

<file path=customXml/itemProps3.xml><?xml version="1.0" encoding="utf-8"?>
<ds:datastoreItem xmlns:ds="http://schemas.openxmlformats.org/officeDocument/2006/customXml" ds:itemID="{1E651953-2054-43DA-8F7D-8B3865D7943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Thorn</dc:creator>
  <cp:keywords/>
  <dc:description/>
  <cp:lastModifiedBy>Chandler Thorn</cp:lastModifiedBy>
  <cp:revision>15</cp:revision>
  <dcterms:created xsi:type="dcterms:W3CDTF">2021-11-29T19:33:00Z</dcterms:created>
  <dcterms:modified xsi:type="dcterms:W3CDTF">2022-03-04T13:49:19Z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0x0101002271626B21EDB542B639BBB350735326</vt:lpwstr>
  </property>
</Properties>
</file>