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005F2" w:rsidR="00EE4125" w:rsidP="00BF3CAA" w:rsidRDefault="00EE4125" w14:paraId="6FEEB6DD" w14:textId="0DDDAB1F">
      <w:pPr>
        <w:spacing w:after="0" w:line="360" w:lineRule="auto"/>
        <w:contextualSpacing/>
      </w:pPr>
      <w:r w:rsidRPr="00BF3CAA">
        <w:rPr>
          <w:sz w:val="32"/>
          <w:szCs w:val="32"/>
        </w:rPr>
        <w:t xml:space="preserve">HR Hero </w:t>
      </w:r>
      <w:r w:rsidRPr="00BF3CAA" w:rsidR="00BF3CAA">
        <w:rPr>
          <w:sz w:val="32"/>
          <w:szCs w:val="32"/>
        </w:rPr>
        <w:t xml:space="preserve">– </w:t>
      </w:r>
      <w:r w:rsidRPr="00BF3CAA">
        <w:rPr>
          <w:sz w:val="32"/>
          <w:szCs w:val="32"/>
        </w:rPr>
        <w:t>Streamline Manual Processes</w:t>
      </w:r>
      <w:r w:rsidRPr="00BF3CAA" w:rsidR="00BF3CAA">
        <w:rPr>
          <w:sz w:val="32"/>
          <w:szCs w:val="32"/>
        </w:rPr>
        <w:br/>
      </w:r>
    </w:p>
    <w:p w:rsidRPr="00BF3CAA" w:rsidR="00EE4125" w:rsidP="00BF3CAA" w:rsidRDefault="00EE4125" w14:paraId="33EA3D50" w14:textId="1E2A4C66">
      <w:pPr>
        <w:spacing w:after="0" w:line="360" w:lineRule="auto"/>
        <w:contextualSpacing/>
      </w:pPr>
      <w:r w:rsidRPr="00BF3CAA">
        <w:t xml:space="preserve">HR Hero® is our fully customizable, cloud-based platform that offers expert legal analysis, guidance, training, and best-in-class tools for you and your team. HR Hero combines powerful workflow tools that </w:t>
      </w:r>
      <w:r w:rsidRPr="00BF3CAA" w:rsidR="009F04C6">
        <w:t>H</w:t>
      </w:r>
      <w:r w:rsidRPr="00BF3CAA">
        <w:t xml:space="preserve">uman </w:t>
      </w:r>
      <w:r w:rsidRPr="00BF3CAA" w:rsidR="009F04C6">
        <w:t>R</w:t>
      </w:r>
      <w:r w:rsidRPr="00BF3CAA">
        <w:t>esources professionals need into one centralized dashboard.</w:t>
      </w:r>
    </w:p>
    <w:p w:rsidRPr="00BF3CAA" w:rsidR="00EE4125" w:rsidP="00BF3CAA" w:rsidRDefault="00EE4125" w14:paraId="3C3EF7CF" w14:textId="77777777">
      <w:pPr>
        <w:spacing w:after="0" w:line="360" w:lineRule="auto"/>
        <w:contextualSpacing/>
      </w:pPr>
    </w:p>
    <w:p w:rsidRPr="00930475" w:rsidR="00EE4125" w:rsidP="00BF3CAA" w:rsidRDefault="00EE4125" w14:paraId="56B5A08E" w14:textId="77777777">
      <w:pPr>
        <w:spacing w:after="0" w:line="360" w:lineRule="auto"/>
        <w:contextualSpacing/>
        <w:rPr>
          <w:b/>
          <w:bCs/>
        </w:rPr>
      </w:pPr>
      <w:r w:rsidRPr="00930475">
        <w:rPr>
          <w:b/>
          <w:bCs/>
        </w:rPr>
        <w:t xml:space="preserve">Streamline Manual Processes </w:t>
      </w:r>
    </w:p>
    <w:p w:rsidRPr="00BF3CAA" w:rsidR="00EE4125" w:rsidP="00BF3CAA" w:rsidRDefault="00EE4125" w14:paraId="10DD580E" w14:textId="19BCFCBA">
      <w:pPr>
        <w:spacing w:after="0" w:line="360" w:lineRule="auto"/>
        <w:contextualSpacing/>
      </w:pPr>
      <w:r w:rsidRPr="00BF3CAA">
        <w:t>Are you overloaded with tasks and short on time? What if we told you HR Hero® can automate your manual processes, giving you more time to focus on strategic projects that will move the needle in your organization? Let the experts at HR Hero do the heavy lifting for you.</w:t>
      </w:r>
      <w:r w:rsidR="00930475">
        <w:br/>
      </w:r>
    </w:p>
    <w:p w:rsidRPr="00930475" w:rsidR="00EE4125" w:rsidP="00BF3CAA" w:rsidRDefault="00EE4125" w14:paraId="1687DD37" w14:textId="02FE3137">
      <w:pPr>
        <w:spacing w:after="0" w:line="360" w:lineRule="auto"/>
        <w:contextualSpacing/>
        <w:rPr>
          <w:u w:val="single"/>
        </w:rPr>
      </w:pPr>
      <w:r w:rsidRPr="00930475">
        <w:rPr>
          <w:u w:val="single"/>
        </w:rPr>
        <w:t xml:space="preserve">Top </w:t>
      </w:r>
      <w:r w:rsidRPr="00930475" w:rsidR="009F04C6">
        <w:rPr>
          <w:u w:val="single"/>
        </w:rPr>
        <w:t>f</w:t>
      </w:r>
      <w:r w:rsidRPr="00930475">
        <w:rPr>
          <w:u w:val="single"/>
        </w:rPr>
        <w:t>eatures:</w:t>
      </w:r>
    </w:p>
    <w:p w:rsidR="00EE4125" w:rsidP="1FD444B3" w:rsidRDefault="00EE4125" w14:paraId="6774FE00" w14:textId="71060DCC">
      <w:pPr>
        <w:pStyle w:val="ListParagraph"/>
        <w:numPr>
          <w:ilvl w:val="0"/>
          <w:numId w:val="2"/>
        </w:numPr>
        <w:spacing w:after="0" w:line="360" w:lineRule="auto"/>
        <w:rPr>
          <w:rFonts w:ascii="Calibri" w:hAnsi="Calibri" w:eastAsia="Calibri" w:cs="Calibri" w:asciiTheme="minorAscii" w:hAnsiTheme="minorAscii" w:eastAsiaTheme="minorAscii" w:cstheme="minorAscii"/>
          <w:noProof w:val="0"/>
          <w:sz w:val="22"/>
          <w:szCs w:val="22"/>
          <w:lang w:val="en-US"/>
        </w:rPr>
      </w:pPr>
      <w:r w:rsidRPr="1FD444B3" w:rsidR="00EE4125">
        <w:rPr>
          <w:b w:val="1"/>
          <w:bCs w:val="1"/>
        </w:rPr>
        <w:t xml:space="preserve">Employee Handbook Builder - </w:t>
      </w:r>
      <w:r w:rsidRPr="1FD444B3" w:rsidR="1FD444B3">
        <w:rPr>
          <w:noProof w:val="0"/>
          <w:lang w:val="en-US"/>
        </w:rPr>
        <w:t xml:space="preserve">Writing and updating a handbook can be a huge undertaking, but not having one could expose you to unnecessary risk. Having clear and concise explanations of policies can help avoid litigation in disputes with employees. Written by the top employment attorneys at Jackson Lewis LLP, our guided handbook </w:t>
      </w:r>
      <w:r w:rsidRPr="1FD444B3" w:rsidR="1FD444B3">
        <w:rPr>
          <w:noProof w:val="0"/>
          <w:lang w:val="en-US"/>
        </w:rPr>
        <w:t>builder</w:t>
      </w:r>
      <w:r w:rsidRPr="1FD444B3" w:rsidR="1FD444B3">
        <w:rPr>
          <w:noProof w:val="0"/>
          <w:lang w:val="en-US"/>
        </w:rPr>
        <w:t xml:space="preserve"> helps you create your own customized handbook from start to finish.</w:t>
      </w:r>
    </w:p>
    <w:p w:rsidR="1FD444B3" w:rsidP="1FD444B3" w:rsidRDefault="1FD444B3" w14:paraId="6FFCCC4D" w14:textId="57FD4B07">
      <w:pPr>
        <w:pStyle w:val="Normal"/>
        <w:spacing w:after="0" w:line="360" w:lineRule="auto"/>
        <w:ind w:left="0"/>
        <w:rPr>
          <w:noProof w:val="0"/>
          <w:lang w:val="en-US"/>
        </w:rPr>
      </w:pPr>
    </w:p>
    <w:p w:rsidRPr="00BF3CAA" w:rsidR="00EE4125" w:rsidP="1FD444B3" w:rsidRDefault="00EE4125" w14:paraId="727A47F6" w14:textId="2A14DA8B">
      <w:pPr>
        <w:pStyle w:val="ListParagraph"/>
        <w:numPr>
          <w:ilvl w:val="0"/>
          <w:numId w:val="2"/>
        </w:numPr>
        <w:spacing w:after="0" w:line="360" w:lineRule="auto"/>
        <w:rPr>
          <w:rFonts w:ascii="Calibri" w:hAnsi="Calibri" w:eastAsia="Calibri" w:cs="Calibri" w:asciiTheme="minorAscii" w:hAnsiTheme="minorAscii" w:eastAsiaTheme="minorAscii" w:cstheme="minorAscii"/>
          <w:noProof w:val="0"/>
          <w:sz w:val="22"/>
          <w:szCs w:val="22"/>
          <w:lang w:val="en-US"/>
        </w:rPr>
      </w:pPr>
      <w:r w:rsidRPr="1FD444B3" w:rsidR="00EE4125">
        <w:rPr>
          <w:b w:val="1"/>
          <w:bCs w:val="1"/>
        </w:rPr>
        <w:t>Job Description Manager -</w:t>
      </w:r>
      <w:r w:rsidR="00EE4125">
        <w:rPr/>
        <w:t xml:space="preserve"> </w:t>
      </w:r>
      <w:r w:rsidRPr="1FD444B3" w:rsidR="1FD444B3">
        <w:rPr>
          <w:noProof w:val="0"/>
          <w:lang w:val="en-US"/>
        </w:rPr>
        <w:t>Most know job descriptions play an important role in regulatory compliance for both the American with Disabilities Act (ADA) and the Fair Labor Standard Act (FLSA), but did you know job descriptions are the foundation for ALL your talent practices? From talent attraction and acquisition to employee development and performance management, accurate and compelling job descriptions are critical to your organization’s success.</w:t>
      </w:r>
    </w:p>
    <w:p w:rsidR="1FD444B3" w:rsidP="1FD444B3" w:rsidRDefault="1FD444B3" w14:paraId="13D4D120" w14:textId="7E7A4040">
      <w:pPr>
        <w:pStyle w:val="Normal"/>
        <w:spacing w:after="0" w:line="360" w:lineRule="auto"/>
        <w:ind w:left="0"/>
        <w:rPr>
          <w:noProof w:val="0"/>
          <w:lang w:val="en-US"/>
        </w:rPr>
      </w:pPr>
    </w:p>
    <w:p w:rsidRPr="00BF3CAA" w:rsidR="00EE4125" w:rsidP="1FD444B3" w:rsidRDefault="00EE4125" w14:paraId="5827A546" w14:textId="66940D75">
      <w:pPr>
        <w:pStyle w:val="ListParagraph"/>
        <w:numPr>
          <w:ilvl w:val="0"/>
          <w:numId w:val="2"/>
        </w:numPr>
        <w:spacing w:after="0" w:line="360" w:lineRule="auto"/>
        <w:rPr>
          <w:rFonts w:ascii="Calibri" w:hAnsi="Calibri" w:eastAsia="Calibri" w:cs="Calibri" w:asciiTheme="minorAscii" w:hAnsiTheme="minorAscii" w:eastAsiaTheme="minorAscii" w:cstheme="minorAscii"/>
          <w:sz w:val="22"/>
          <w:szCs w:val="22"/>
        </w:rPr>
      </w:pPr>
      <w:r w:rsidRPr="1FD444B3" w:rsidR="00EE4125">
        <w:rPr>
          <w:b w:val="1"/>
          <w:bCs w:val="1"/>
        </w:rPr>
        <w:t>Salary Finder -</w:t>
      </w:r>
      <w:r w:rsidR="00EE4125">
        <w:rPr/>
        <w:t xml:space="preserve"> </w:t>
      </w:r>
      <w:r w:rsidRPr="1FD444B3" w:rsidR="1FD444B3">
        <w:rPr>
          <w:noProof w:val="0"/>
          <w:lang w:val="en-US"/>
        </w:rPr>
        <w:t xml:space="preserve">When pay is fair, companies and their employees thrive. Yet, only 56% of employees feel they are being paid competitively with the local market, according to SHRM’s 2016 Employee Job Satisfaction and Engagement Survey. In today’s competitive hiring market, top talent </w:t>
      </w:r>
      <w:proofErr w:type="gramStart"/>
      <w:r w:rsidRPr="1FD444B3" w:rsidR="1FD444B3">
        <w:rPr>
          <w:noProof w:val="0"/>
          <w:lang w:val="en-US"/>
        </w:rPr>
        <w:t>are</w:t>
      </w:r>
      <w:proofErr w:type="gramEnd"/>
      <w:r w:rsidRPr="1FD444B3" w:rsidR="1FD444B3">
        <w:rPr>
          <w:noProof w:val="0"/>
          <w:lang w:val="en-US"/>
        </w:rPr>
        <w:t xml:space="preserve"> more apt to leave if they don’t feel like they’re being adequately rewarded. Don’t lose out on top talent because of disproportionate and outdated salary offerings. HR Hero’s Salary Finder ensures you have instant access to the salary data you need to make smart and competitive pay decisions right at your fingertips.</w:t>
      </w:r>
    </w:p>
    <w:p w:rsidRPr="00BF3CAA" w:rsidR="00EE4125" w:rsidP="00BF3CAA" w:rsidRDefault="00EE4125" w14:paraId="03FC407B" w14:textId="77777777">
      <w:pPr>
        <w:spacing w:after="0" w:line="360" w:lineRule="auto"/>
        <w:contextualSpacing/>
      </w:pPr>
    </w:p>
    <w:p w:rsidRPr="00BF3CAA" w:rsidR="00EE4125" w:rsidP="00BF3CAA" w:rsidRDefault="00EE4125" w14:paraId="7F425E2F" w14:textId="09D20C73">
      <w:pPr>
        <w:spacing w:after="0" w:line="360" w:lineRule="auto"/>
        <w:contextualSpacing/>
      </w:pPr>
      <w:r w:rsidRPr="00BF3CAA">
        <w:t xml:space="preserve">Move the needle in your </w:t>
      </w:r>
      <w:proofErr w:type="gramStart"/>
      <w:r w:rsidRPr="00BF3CAA">
        <w:t>organization</w:t>
      </w:r>
      <w:r w:rsidRPr="00BF3CAA" w:rsidR="009F04C6">
        <w:t>,</w:t>
      </w:r>
      <w:r w:rsidRPr="00BF3CAA">
        <w:t xml:space="preserve"> and</w:t>
      </w:r>
      <w:proofErr w:type="gramEnd"/>
      <w:r w:rsidRPr="00BF3CAA">
        <w:t xml:space="preserve"> gain back precious time and resources so you can invest in what really matters</w:t>
      </w:r>
      <w:r w:rsidRPr="00BF3CAA" w:rsidR="009F04C6">
        <w:t>:</w:t>
      </w:r>
      <w:r w:rsidRPr="00BF3CAA">
        <w:t xml:space="preserve"> your people.</w:t>
      </w:r>
    </w:p>
    <w:p w:rsidR="00EE4125" w:rsidP="00EE4125" w:rsidRDefault="00EE4125" w14:paraId="3024376C" w14:textId="77777777">
      <w:pPr>
        <w:rPr>
          <w:rFonts w:ascii="Calibri" w:hAnsi="Calibri" w:eastAsia="Calibri" w:cs="Calibri"/>
        </w:rPr>
      </w:pPr>
    </w:p>
    <w:p w:rsidR="540981E5" w:rsidP="4703ECC2" w:rsidRDefault="540981E5" w14:paraId="45A264A1" w14:textId="7DCDDA82">
      <w:pPr>
        <w:spacing w:after="160" w:line="259" w:lineRule="auto"/>
        <w:jc w:val="center"/>
        <w:rPr>
          <w:rFonts w:ascii="Calibri" w:hAnsi="Calibri" w:eastAsia="Calibri" w:cs="Calibri"/>
          <w:b w:val="0"/>
          <w:bCs w:val="0"/>
          <w:i w:val="0"/>
          <w:iCs w:val="0"/>
          <w:caps w:val="0"/>
          <w:smallCaps w:val="0"/>
          <w:noProof w:val="0"/>
          <w:color w:val="000000" w:themeColor="text1" w:themeTint="FF" w:themeShade="FF"/>
          <w:sz w:val="22"/>
          <w:szCs w:val="22"/>
          <w:lang w:val="en-US"/>
        </w:rPr>
      </w:pPr>
      <w:r w:rsidRPr="4703ECC2" w:rsidR="540981E5">
        <w:rPr>
          <w:rFonts w:ascii="Calibri" w:hAnsi="Calibri" w:eastAsia="Calibri" w:cs="Calibri"/>
          <w:b w:val="1"/>
          <w:bCs w:val="1"/>
          <w:i w:val="0"/>
          <w:iCs w:val="0"/>
          <w:caps w:val="0"/>
          <w:smallCaps w:val="0"/>
          <w:noProof w:val="0"/>
          <w:color w:val="000000" w:themeColor="text1" w:themeTint="FF" w:themeShade="FF"/>
          <w:sz w:val="22"/>
          <w:szCs w:val="22"/>
          <w:lang w:val="en-US"/>
        </w:rPr>
        <w:t>For questions about HR Hero resources, </w:t>
      </w:r>
    </w:p>
    <w:p w:rsidR="540981E5" w:rsidP="4703ECC2" w:rsidRDefault="540981E5" w14:paraId="63A35997" w14:textId="2C539619">
      <w:pPr>
        <w:spacing w:after="160" w:line="259" w:lineRule="auto"/>
        <w:jc w:val="center"/>
        <w:rPr>
          <w:rFonts w:ascii="Calibri" w:hAnsi="Calibri" w:eastAsia="Calibri" w:cs="Calibri"/>
          <w:b w:val="0"/>
          <w:bCs w:val="0"/>
          <w:i w:val="0"/>
          <w:iCs w:val="0"/>
          <w:caps w:val="0"/>
          <w:smallCaps w:val="0"/>
          <w:noProof w:val="0"/>
          <w:color w:val="000000" w:themeColor="text1" w:themeTint="FF" w:themeShade="FF"/>
          <w:sz w:val="22"/>
          <w:szCs w:val="22"/>
          <w:lang w:val="en-US"/>
        </w:rPr>
      </w:pPr>
      <w:r w:rsidRPr="4703ECC2" w:rsidR="540981E5">
        <w:rPr>
          <w:rFonts w:ascii="Calibri" w:hAnsi="Calibri" w:eastAsia="Calibri" w:cs="Calibri"/>
          <w:b w:val="1"/>
          <w:bCs w:val="1"/>
          <w:i w:val="0"/>
          <w:iCs w:val="0"/>
          <w:caps w:val="0"/>
          <w:smallCaps w:val="0"/>
          <w:noProof w:val="0"/>
          <w:color w:val="000000" w:themeColor="text1" w:themeTint="FF" w:themeShade="FF"/>
          <w:sz w:val="22"/>
          <w:szCs w:val="22"/>
          <w:lang w:val="en-US"/>
        </w:rPr>
        <w:t>please contact:  </w:t>
      </w:r>
    </w:p>
    <w:p w:rsidR="540981E5" w:rsidP="4703ECC2" w:rsidRDefault="540981E5" w14:paraId="0AC230B4" w14:textId="756AB4E4">
      <w:pPr>
        <w:spacing w:after="160" w:line="259" w:lineRule="auto"/>
        <w:jc w:val="center"/>
        <w:rPr>
          <w:rFonts w:ascii="Calibri" w:hAnsi="Calibri" w:eastAsia="Calibri" w:cs="Calibri"/>
          <w:b w:val="0"/>
          <w:bCs w:val="0"/>
          <w:i w:val="0"/>
          <w:iCs w:val="0"/>
          <w:caps w:val="0"/>
          <w:smallCaps w:val="0"/>
          <w:noProof w:val="0"/>
          <w:color w:val="000000" w:themeColor="text1" w:themeTint="FF" w:themeShade="FF"/>
          <w:sz w:val="22"/>
          <w:szCs w:val="22"/>
          <w:highlight w:val="yellow"/>
          <w:lang w:val="en-US"/>
        </w:rPr>
      </w:pPr>
      <w:r w:rsidRPr="4703ECC2" w:rsidR="540981E5">
        <w:rPr>
          <w:rFonts w:ascii="Calibri" w:hAnsi="Calibri" w:eastAsia="Calibri" w:cs="Calibri"/>
          <w:b w:val="1"/>
          <w:bCs w:val="1"/>
          <w:i w:val="0"/>
          <w:iCs w:val="0"/>
          <w:caps w:val="0"/>
          <w:smallCaps w:val="0"/>
          <w:noProof w:val="0"/>
          <w:color w:val="000000" w:themeColor="text1" w:themeTint="FF" w:themeShade="FF"/>
          <w:sz w:val="22"/>
          <w:szCs w:val="22"/>
          <w:highlight w:val="yellow"/>
          <w:lang w:val="en-US"/>
        </w:rPr>
        <w:t>[Name]</w:t>
      </w:r>
    </w:p>
    <w:p w:rsidR="540981E5" w:rsidP="4703ECC2" w:rsidRDefault="540981E5" w14:paraId="7A11B08C" w14:textId="552A3AB6">
      <w:pPr>
        <w:spacing w:after="160" w:line="259" w:lineRule="auto"/>
        <w:jc w:val="center"/>
        <w:rPr>
          <w:rFonts w:ascii="Calibri" w:hAnsi="Calibri" w:eastAsia="Calibri" w:cs="Calibri"/>
          <w:b w:val="0"/>
          <w:bCs w:val="0"/>
          <w:i w:val="0"/>
          <w:iCs w:val="0"/>
          <w:caps w:val="0"/>
          <w:smallCaps w:val="0"/>
          <w:noProof w:val="0"/>
          <w:color w:val="000000" w:themeColor="text1" w:themeTint="FF" w:themeShade="FF"/>
          <w:sz w:val="22"/>
          <w:szCs w:val="22"/>
          <w:highlight w:val="yellow"/>
          <w:lang w:val="en-US"/>
        </w:rPr>
      </w:pPr>
      <w:r w:rsidRPr="4703ECC2" w:rsidR="540981E5">
        <w:rPr>
          <w:rFonts w:ascii="Calibri" w:hAnsi="Calibri" w:eastAsia="Calibri" w:cs="Calibri"/>
          <w:b w:val="1"/>
          <w:bCs w:val="1"/>
          <w:i w:val="0"/>
          <w:iCs w:val="0"/>
          <w:caps w:val="0"/>
          <w:smallCaps w:val="0"/>
          <w:noProof w:val="0"/>
          <w:color w:val="000000" w:themeColor="text1" w:themeTint="FF" w:themeShade="FF"/>
          <w:sz w:val="22"/>
          <w:szCs w:val="22"/>
          <w:highlight w:val="yellow"/>
          <w:lang w:val="en-US"/>
        </w:rPr>
        <w:t>[Email]</w:t>
      </w:r>
    </w:p>
    <w:p w:rsidR="540981E5" w:rsidP="4703ECC2" w:rsidRDefault="540981E5" w14:paraId="6E9ACB59" w14:textId="0C19B548">
      <w:pPr>
        <w:spacing w:after="160" w:line="259" w:lineRule="auto"/>
        <w:jc w:val="center"/>
        <w:rPr>
          <w:rFonts w:ascii="Calibri" w:hAnsi="Calibri" w:eastAsia="Calibri" w:cs="Calibri"/>
          <w:b w:val="0"/>
          <w:bCs w:val="0"/>
          <w:i w:val="0"/>
          <w:iCs w:val="0"/>
          <w:caps w:val="0"/>
          <w:smallCaps w:val="0"/>
          <w:noProof w:val="0"/>
          <w:color w:val="000000" w:themeColor="text1" w:themeTint="FF" w:themeShade="FF"/>
          <w:sz w:val="22"/>
          <w:szCs w:val="22"/>
          <w:highlight w:val="yellow"/>
          <w:lang w:val="en-US"/>
        </w:rPr>
      </w:pPr>
      <w:r w:rsidRPr="4703ECC2" w:rsidR="540981E5">
        <w:rPr>
          <w:rFonts w:ascii="Calibri" w:hAnsi="Calibri" w:eastAsia="Calibri" w:cs="Calibri"/>
          <w:b w:val="1"/>
          <w:bCs w:val="1"/>
          <w:i w:val="0"/>
          <w:iCs w:val="0"/>
          <w:caps w:val="0"/>
          <w:smallCaps w:val="0"/>
          <w:noProof w:val="0"/>
          <w:color w:val="000000" w:themeColor="text1" w:themeTint="FF" w:themeShade="FF"/>
          <w:sz w:val="22"/>
          <w:szCs w:val="22"/>
          <w:highlight w:val="yellow"/>
          <w:lang w:val="en-US"/>
        </w:rPr>
        <w:t>[Phone Number]</w:t>
      </w:r>
    </w:p>
    <w:p w:rsidR="4703ECC2" w:rsidP="4703ECC2" w:rsidRDefault="4703ECC2" w14:paraId="30643E36" w14:textId="76CE8688">
      <w:pPr>
        <w:pStyle w:val="Normal"/>
        <w:spacing w:line="360" w:lineRule="auto"/>
        <w:jc w:val="center"/>
        <w:rPr>
          <w:rFonts w:ascii="Calibri" w:hAnsi="Calibri" w:eastAsia="Calibri" w:cs="Calibri"/>
          <w:color w:val="000000" w:themeColor="text1" w:themeTint="FF" w:themeShade="FF"/>
        </w:rPr>
      </w:pPr>
    </w:p>
    <w:p w:rsidR="00EE4125" w:rsidP="00EE4125" w:rsidRDefault="00EE4125" w14:paraId="5D4418DC" w14:textId="77777777">
      <w:pPr>
        <w:rPr>
          <w:rFonts w:ascii="Calibri" w:hAnsi="Calibri" w:eastAsia="Calibri" w:cs="Calibri"/>
        </w:rPr>
      </w:pPr>
    </w:p>
    <w:p w:rsidR="006B5FB1" w:rsidRDefault="000005F2" w14:paraId="588B9DC1" w14:textId="77777777"/>
    <w:sectPr w:rsidR="006B5FB1">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CB126B"/>
    <w:multiLevelType w:val="hybridMultilevel"/>
    <w:tmpl w:val="AFB8B09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6B4F0E8B"/>
    <w:multiLevelType w:val="hybridMultilevel"/>
    <w:tmpl w:val="FFFFFFFF"/>
    <w:lvl w:ilvl="0" w:tplc="418ACD76">
      <w:start w:val="1"/>
      <w:numFmt w:val="bullet"/>
      <w:lvlText w:val=""/>
      <w:lvlJc w:val="left"/>
      <w:pPr>
        <w:ind w:left="720" w:hanging="360"/>
      </w:pPr>
      <w:rPr>
        <w:rFonts w:hint="default" w:ascii="Symbol" w:hAnsi="Symbol"/>
      </w:rPr>
    </w:lvl>
    <w:lvl w:ilvl="1" w:tplc="CC2E9494">
      <w:start w:val="1"/>
      <w:numFmt w:val="bullet"/>
      <w:lvlText w:val="o"/>
      <w:lvlJc w:val="left"/>
      <w:pPr>
        <w:ind w:left="1440" w:hanging="360"/>
      </w:pPr>
      <w:rPr>
        <w:rFonts w:hint="default" w:ascii="Courier New" w:hAnsi="Courier New"/>
      </w:rPr>
    </w:lvl>
    <w:lvl w:ilvl="2" w:tplc="58C84C7A">
      <w:start w:val="1"/>
      <w:numFmt w:val="bullet"/>
      <w:lvlText w:val=""/>
      <w:lvlJc w:val="left"/>
      <w:pPr>
        <w:ind w:left="2160" w:hanging="360"/>
      </w:pPr>
      <w:rPr>
        <w:rFonts w:hint="default" w:ascii="Wingdings" w:hAnsi="Wingdings"/>
      </w:rPr>
    </w:lvl>
    <w:lvl w:ilvl="3" w:tplc="5860F000">
      <w:start w:val="1"/>
      <w:numFmt w:val="bullet"/>
      <w:lvlText w:val=""/>
      <w:lvlJc w:val="left"/>
      <w:pPr>
        <w:ind w:left="2880" w:hanging="360"/>
      </w:pPr>
      <w:rPr>
        <w:rFonts w:hint="default" w:ascii="Symbol" w:hAnsi="Symbol"/>
      </w:rPr>
    </w:lvl>
    <w:lvl w:ilvl="4" w:tplc="DF7C3F66">
      <w:start w:val="1"/>
      <w:numFmt w:val="bullet"/>
      <w:lvlText w:val="o"/>
      <w:lvlJc w:val="left"/>
      <w:pPr>
        <w:ind w:left="3600" w:hanging="360"/>
      </w:pPr>
      <w:rPr>
        <w:rFonts w:hint="default" w:ascii="Courier New" w:hAnsi="Courier New"/>
      </w:rPr>
    </w:lvl>
    <w:lvl w:ilvl="5" w:tplc="775A1C74">
      <w:start w:val="1"/>
      <w:numFmt w:val="bullet"/>
      <w:lvlText w:val=""/>
      <w:lvlJc w:val="left"/>
      <w:pPr>
        <w:ind w:left="4320" w:hanging="360"/>
      </w:pPr>
      <w:rPr>
        <w:rFonts w:hint="default" w:ascii="Wingdings" w:hAnsi="Wingdings"/>
      </w:rPr>
    </w:lvl>
    <w:lvl w:ilvl="6" w:tplc="0C325B12">
      <w:start w:val="1"/>
      <w:numFmt w:val="bullet"/>
      <w:lvlText w:val=""/>
      <w:lvlJc w:val="left"/>
      <w:pPr>
        <w:ind w:left="5040" w:hanging="360"/>
      </w:pPr>
      <w:rPr>
        <w:rFonts w:hint="default" w:ascii="Symbol" w:hAnsi="Symbol"/>
      </w:rPr>
    </w:lvl>
    <w:lvl w:ilvl="7" w:tplc="588C47DA">
      <w:start w:val="1"/>
      <w:numFmt w:val="bullet"/>
      <w:lvlText w:val="o"/>
      <w:lvlJc w:val="left"/>
      <w:pPr>
        <w:ind w:left="5760" w:hanging="360"/>
      </w:pPr>
      <w:rPr>
        <w:rFonts w:hint="default" w:ascii="Courier New" w:hAnsi="Courier New"/>
      </w:rPr>
    </w:lvl>
    <w:lvl w:ilvl="8" w:tplc="063685AA">
      <w:start w:val="1"/>
      <w:numFmt w:val="bullet"/>
      <w:lvlText w:val=""/>
      <w:lvlJc w:val="left"/>
      <w:pPr>
        <w:ind w:left="6480" w:hanging="36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125"/>
    <w:rsid w:val="000005F2"/>
    <w:rsid w:val="00014A1F"/>
    <w:rsid w:val="00930475"/>
    <w:rsid w:val="009F04C6"/>
    <w:rsid w:val="00BF3CAA"/>
    <w:rsid w:val="00EE4125"/>
    <w:rsid w:val="00EF3518"/>
    <w:rsid w:val="03A0D3AC"/>
    <w:rsid w:val="03A0D3AC"/>
    <w:rsid w:val="1FD444B3"/>
    <w:rsid w:val="430DC9D5"/>
    <w:rsid w:val="4703ECC2"/>
    <w:rsid w:val="540981E5"/>
    <w:rsid w:val="676D62A4"/>
    <w:rsid w:val="6C40D3C7"/>
    <w:rsid w:val="6D1380D7"/>
    <w:rsid w:val="6E613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E6B2D"/>
  <w15:chartTrackingRefBased/>
  <w15:docId w15:val="{84D8D838-07BD-4C44-9991-0E79C3E10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E4125"/>
  </w:style>
  <w:style w:type="paragraph" w:styleId="Heading1">
    <w:name w:val="heading 1"/>
    <w:basedOn w:val="Normal"/>
    <w:next w:val="Normal"/>
    <w:link w:val="Heading1Char"/>
    <w:uiPriority w:val="9"/>
    <w:qFormat/>
    <w:rsid w:val="00EE4125"/>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EE4125"/>
    <w:rPr>
      <w:rFonts w:asciiTheme="majorHAnsi" w:hAnsiTheme="majorHAnsi" w:eastAsiaTheme="majorEastAsia" w:cstheme="majorBidi"/>
      <w:color w:val="2F5496" w:themeColor="accent1" w:themeShade="BF"/>
      <w:sz w:val="32"/>
      <w:szCs w:val="32"/>
    </w:rPr>
  </w:style>
  <w:style w:type="character" w:styleId="Hyperlink">
    <w:name w:val="Hyperlink"/>
    <w:basedOn w:val="DefaultParagraphFont"/>
    <w:uiPriority w:val="99"/>
    <w:unhideWhenUsed/>
    <w:rsid w:val="00EE4125"/>
    <w:rPr>
      <w:color w:val="0563C1" w:themeColor="hyperlink"/>
      <w:u w:val="single"/>
    </w:rPr>
  </w:style>
  <w:style w:type="paragraph" w:styleId="ListParagraph">
    <w:name w:val="List Paragraph"/>
    <w:basedOn w:val="Normal"/>
    <w:uiPriority w:val="34"/>
    <w:qFormat/>
    <w:rsid w:val="00EE41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endSequence xmlns="bc150a28-da13-403a-9344-62bbe618558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71626B21EDB542B639BBB350735326" ma:contentTypeVersion="13" ma:contentTypeDescription="Create a new document." ma:contentTypeScope="" ma:versionID="79b5d853dbbc552efa8ca394d1c60b8c">
  <xsd:schema xmlns:xsd="http://www.w3.org/2001/XMLSchema" xmlns:xs="http://www.w3.org/2001/XMLSchema" xmlns:p="http://schemas.microsoft.com/office/2006/metadata/properties" xmlns:ns2="bc150a28-da13-403a-9344-62bbe6185580" xmlns:ns3="07d5d9d7-1316-431f-bb32-88f5557ad3f8" targetNamespace="http://schemas.microsoft.com/office/2006/metadata/properties" ma:root="true" ma:fieldsID="84792db7566a2a19f2edecc07b9ff475" ns2:_="" ns3:_="">
    <xsd:import namespace="bc150a28-da13-403a-9344-62bbe6185580"/>
    <xsd:import namespace="07d5d9d7-1316-431f-bb32-88f5557ad3f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SendSequenc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150a28-da13-403a-9344-62bbe61855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SendSequence" ma:index="17" nillable="true" ma:displayName="Send Sequence" ma:format="Dropdown" ma:internalName="SendSequence"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07d5d9d7-1316-431f-bb32-88f5557ad3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17053A-A99B-44AC-8E32-71ACAF15D10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1207CC9-3FE8-4A75-AB11-E2B3EDB5FCBE}">
  <ds:schemaRefs>
    <ds:schemaRef ds:uri="http://schemas.microsoft.com/sharepoint/v3/contenttype/forms"/>
  </ds:schemaRefs>
</ds:datastoreItem>
</file>

<file path=customXml/itemProps3.xml><?xml version="1.0" encoding="utf-8"?>
<ds:datastoreItem xmlns:ds="http://schemas.openxmlformats.org/officeDocument/2006/customXml" ds:itemID="{F27BB92D-0381-4DC6-819B-2CE228E138D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Chandler Thorn</dc:creator>
  <cp:keywords/>
  <dc:description/>
  <cp:lastModifiedBy>Chandler Thorn</cp:lastModifiedBy>
  <cp:revision>8</cp:revision>
  <dcterms:created xsi:type="dcterms:W3CDTF">2021-11-29T19:36:00Z</dcterms:created>
  <dcterms:modified xsi:type="dcterms:W3CDTF">2022-03-04T13:29:08Z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0x0101002271626B21EDB542B639BBB350735326</vt:lpwstr>
  </property>
</Properties>
</file>